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5CC" w:rsidRPr="00F325CC" w:rsidRDefault="00F325CC" w:rsidP="00F325CC">
      <w:pPr>
        <w:widowControl/>
        <w:shd w:val="clear" w:color="auto" w:fill="FFFFFF"/>
        <w:spacing w:line="360" w:lineRule="auto"/>
        <w:jc w:val="left"/>
        <w:rPr>
          <w:rFonts w:ascii="Times New Roman" w:eastAsia="宋体" w:hAnsi="Times New Roman" w:cs="Times New Roman"/>
          <w:color w:val="000000"/>
          <w:kern w:val="0"/>
          <w:sz w:val="24"/>
          <w:szCs w:val="24"/>
        </w:rPr>
      </w:pPr>
      <w:r w:rsidRPr="00F325CC">
        <w:rPr>
          <w:rFonts w:ascii="宋体" w:eastAsia="宋体" w:hAnsi="宋体" w:cs="Times New Roman" w:hint="eastAsia"/>
          <w:color w:val="000000"/>
          <w:kern w:val="0"/>
          <w:sz w:val="24"/>
          <w:szCs w:val="24"/>
        </w:rPr>
        <w:t>尊敬的局长，</w:t>
      </w:r>
    </w:p>
    <w:p w:rsidR="00F325CC" w:rsidRPr="00F325CC" w:rsidRDefault="00F325CC" w:rsidP="00F325CC">
      <w:pPr>
        <w:widowControl/>
        <w:shd w:val="clear" w:color="auto" w:fill="FFFFFF"/>
        <w:spacing w:line="360" w:lineRule="auto"/>
        <w:ind w:firstLineChars="200" w:firstLine="480"/>
        <w:jc w:val="left"/>
        <w:rPr>
          <w:rFonts w:ascii="Times New Roman" w:eastAsia="宋体" w:hAnsi="Times New Roman" w:cs="Times New Roman"/>
          <w:color w:val="000000"/>
          <w:kern w:val="0"/>
          <w:sz w:val="24"/>
          <w:szCs w:val="24"/>
        </w:rPr>
      </w:pPr>
      <w:r w:rsidRPr="00F325CC">
        <w:rPr>
          <w:rFonts w:ascii="宋体" w:eastAsia="宋体" w:hAnsi="宋体" w:cs="Times New Roman" w:hint="eastAsia"/>
          <w:color w:val="000000"/>
          <w:kern w:val="0"/>
          <w:sz w:val="24"/>
          <w:szCs w:val="24"/>
        </w:rPr>
        <w:t>非常高兴能收到你的回复，这真是一个伟大的进步！</w:t>
      </w:r>
    </w:p>
    <w:p w:rsidR="00F325CC" w:rsidRPr="00F325CC" w:rsidRDefault="00F325CC" w:rsidP="00F325CC">
      <w:pPr>
        <w:widowControl/>
        <w:shd w:val="clear" w:color="auto" w:fill="FFFFFF"/>
        <w:spacing w:line="360" w:lineRule="auto"/>
        <w:ind w:firstLineChars="200" w:firstLine="480"/>
        <w:jc w:val="left"/>
        <w:rPr>
          <w:rFonts w:ascii="Times New Roman" w:eastAsia="宋体" w:hAnsi="Times New Roman" w:cs="Times New Roman"/>
          <w:color w:val="000000"/>
          <w:kern w:val="0"/>
          <w:sz w:val="24"/>
          <w:szCs w:val="24"/>
        </w:rPr>
      </w:pPr>
      <w:r w:rsidRPr="00F325CC">
        <w:rPr>
          <w:rFonts w:ascii="宋体" w:eastAsia="宋体" w:hAnsi="宋体" w:cs="Times New Roman" w:hint="eastAsia"/>
          <w:color w:val="000000"/>
          <w:kern w:val="0"/>
          <w:sz w:val="24"/>
          <w:szCs w:val="24"/>
        </w:rPr>
        <w:t>的确以前的历史</w:t>
      </w:r>
      <w:proofErr w:type="gramStart"/>
      <w:r w:rsidRPr="00F325CC">
        <w:rPr>
          <w:rFonts w:ascii="宋体" w:eastAsia="宋体" w:hAnsi="宋体" w:cs="Times New Roman" w:hint="eastAsia"/>
          <w:color w:val="000000"/>
          <w:kern w:val="0"/>
          <w:sz w:val="24"/>
          <w:szCs w:val="24"/>
        </w:rPr>
        <w:t>欠帐</w:t>
      </w:r>
      <w:proofErr w:type="gramEnd"/>
      <w:r w:rsidRPr="00F325CC">
        <w:rPr>
          <w:rFonts w:ascii="宋体" w:eastAsia="宋体" w:hAnsi="宋体" w:cs="Times New Roman" w:hint="eastAsia"/>
          <w:color w:val="000000"/>
          <w:kern w:val="0"/>
          <w:sz w:val="24"/>
          <w:szCs w:val="24"/>
        </w:rPr>
        <w:t>多，相信在你们的努力下，一定会取得很大成效。中国的核电产业出口，必将会引起国外同行和民众关注国家核安全局对中国核电厂建造和运行的监管情况，他们会对比自己国家的核电监管要求。如果双方差别太大，是很不利</w:t>
      </w:r>
      <w:r w:rsidR="00F44A90">
        <w:rPr>
          <w:rFonts w:ascii="宋体" w:eastAsia="宋体" w:hAnsi="宋体" w:cs="Times New Roman" w:hint="eastAsia"/>
          <w:color w:val="000000"/>
          <w:kern w:val="0"/>
          <w:sz w:val="24"/>
          <w:szCs w:val="24"/>
        </w:rPr>
        <w:t>于中国核电技术出口的。相信国家（也包括那些想出口的企业）一定会</w:t>
      </w:r>
      <w:bookmarkStart w:id="0" w:name="_GoBack"/>
      <w:bookmarkEnd w:id="0"/>
      <w:r w:rsidRPr="00F325CC">
        <w:rPr>
          <w:rFonts w:ascii="宋体" w:eastAsia="宋体" w:hAnsi="宋体" w:cs="Times New Roman" w:hint="eastAsia"/>
          <w:color w:val="000000"/>
          <w:kern w:val="0"/>
          <w:sz w:val="24"/>
          <w:szCs w:val="24"/>
        </w:rPr>
        <w:t>加大对核安全局的支持力度，使核电监管与国际接轨更快。</w:t>
      </w:r>
    </w:p>
    <w:p w:rsidR="00F325CC" w:rsidRPr="00F325CC" w:rsidRDefault="00F325CC" w:rsidP="00F325CC">
      <w:pPr>
        <w:widowControl/>
        <w:shd w:val="clear" w:color="auto" w:fill="FFFFFF"/>
        <w:spacing w:line="360" w:lineRule="auto"/>
        <w:jc w:val="left"/>
        <w:rPr>
          <w:rFonts w:ascii="Times New Roman" w:eastAsia="宋体" w:hAnsi="Times New Roman" w:cs="Times New Roman"/>
          <w:color w:val="000000"/>
          <w:kern w:val="0"/>
          <w:sz w:val="24"/>
          <w:szCs w:val="24"/>
        </w:rPr>
      </w:pPr>
      <w:r w:rsidRPr="00F325CC">
        <w:rPr>
          <w:rFonts w:ascii="宋体" w:eastAsia="宋体" w:hAnsi="宋体" w:cs="Times New Roman" w:hint="eastAsia"/>
          <w:color w:val="000000"/>
          <w:kern w:val="0"/>
          <w:sz w:val="24"/>
          <w:szCs w:val="24"/>
        </w:rPr>
        <w:t>我的关注既是作为专业的兴趣，也是多年来热心为国服务的内容之一，希望能为华夏的强盛有所贡献。不是为我工作的公司，也不是为任何其它机构。敬请理解。</w:t>
      </w:r>
    </w:p>
    <w:p w:rsidR="00F325CC" w:rsidRPr="00F325CC" w:rsidRDefault="00F325CC" w:rsidP="00F325CC">
      <w:pPr>
        <w:widowControl/>
        <w:shd w:val="clear" w:color="auto" w:fill="FFFFFF"/>
        <w:spacing w:line="360" w:lineRule="auto"/>
        <w:ind w:firstLineChars="200" w:firstLine="480"/>
        <w:jc w:val="left"/>
        <w:rPr>
          <w:rFonts w:ascii="Times New Roman" w:eastAsia="宋体" w:hAnsi="Times New Roman" w:cs="Times New Roman"/>
          <w:color w:val="000000"/>
          <w:kern w:val="0"/>
          <w:sz w:val="24"/>
          <w:szCs w:val="24"/>
        </w:rPr>
      </w:pPr>
      <w:r w:rsidRPr="00F325CC">
        <w:rPr>
          <w:rFonts w:ascii="宋体" w:eastAsia="宋体" w:hAnsi="宋体" w:cs="Times New Roman" w:hint="eastAsia"/>
          <w:color w:val="000000"/>
          <w:kern w:val="0"/>
          <w:sz w:val="24"/>
          <w:szCs w:val="24"/>
        </w:rPr>
        <w:t>非常有兴趣地阅读了你们的报告，并提出以下疑问，希望能得到解答。</w:t>
      </w:r>
    </w:p>
    <w:p w:rsidR="00F325CC" w:rsidRPr="00F325CC" w:rsidRDefault="00F325CC" w:rsidP="00F325CC">
      <w:pPr>
        <w:widowControl/>
        <w:shd w:val="clear" w:color="auto" w:fill="FFFFFF"/>
        <w:spacing w:line="360" w:lineRule="auto"/>
        <w:ind w:firstLineChars="200" w:firstLine="480"/>
        <w:jc w:val="left"/>
        <w:rPr>
          <w:rFonts w:ascii="Times New Roman" w:eastAsia="宋体" w:hAnsi="Times New Roman" w:cs="Times New Roman"/>
          <w:color w:val="000000"/>
          <w:kern w:val="0"/>
          <w:sz w:val="24"/>
          <w:szCs w:val="24"/>
        </w:rPr>
      </w:pPr>
      <w:r w:rsidRPr="00F325CC">
        <w:rPr>
          <w:rFonts w:ascii="宋体" w:eastAsia="宋体" w:hAnsi="宋体" w:cs="Times New Roman" w:hint="eastAsia"/>
          <w:color w:val="000000"/>
          <w:kern w:val="0"/>
          <w:sz w:val="24"/>
          <w:szCs w:val="24"/>
        </w:rPr>
        <w:t>今后我会经常关注你们的网站。</w:t>
      </w:r>
    </w:p>
    <w:p w:rsidR="00F325CC" w:rsidRPr="00F325CC" w:rsidRDefault="00F325CC" w:rsidP="00F325CC">
      <w:pPr>
        <w:widowControl/>
        <w:shd w:val="clear" w:color="auto" w:fill="FFFFFF"/>
        <w:spacing w:line="360" w:lineRule="auto"/>
        <w:ind w:firstLineChars="2900" w:firstLine="6960"/>
        <w:jc w:val="left"/>
        <w:rPr>
          <w:rFonts w:ascii="Times New Roman" w:eastAsia="宋体" w:hAnsi="Times New Roman" w:cs="Times New Roman"/>
          <w:color w:val="000000"/>
          <w:kern w:val="0"/>
          <w:sz w:val="24"/>
          <w:szCs w:val="24"/>
        </w:rPr>
      </w:pPr>
      <w:r w:rsidRPr="00F325CC">
        <w:rPr>
          <w:rFonts w:ascii="宋体" w:eastAsia="宋体" w:hAnsi="宋体" w:cs="Times New Roman" w:hint="eastAsia"/>
          <w:color w:val="000000"/>
          <w:kern w:val="0"/>
          <w:sz w:val="24"/>
          <w:szCs w:val="24"/>
        </w:rPr>
        <w:t>杨汉新</w:t>
      </w:r>
    </w:p>
    <w:p w:rsidR="00F325CC" w:rsidRPr="00F325CC" w:rsidRDefault="00F325CC" w:rsidP="00F325CC">
      <w:pPr>
        <w:widowControl/>
        <w:shd w:val="clear" w:color="auto" w:fill="FFFFFF"/>
        <w:spacing w:line="360" w:lineRule="auto"/>
        <w:ind w:left="720" w:hanging="360"/>
        <w:jc w:val="left"/>
        <w:rPr>
          <w:rFonts w:ascii="Calibri" w:eastAsia="宋体" w:hAnsi="Calibri" w:cs="宋体"/>
          <w:color w:val="000000"/>
          <w:kern w:val="0"/>
          <w:sz w:val="22"/>
        </w:rPr>
      </w:pPr>
      <w:r w:rsidRPr="00F325CC">
        <w:rPr>
          <w:rFonts w:ascii="宋体" w:eastAsia="宋体" w:hAnsi="宋体" w:cs="宋体" w:hint="eastAsia"/>
          <w:color w:val="000000"/>
          <w:kern w:val="0"/>
          <w:sz w:val="24"/>
          <w:szCs w:val="24"/>
        </w:rPr>
        <w:t>1.水淹裕量</w:t>
      </w:r>
    </w:p>
    <w:p w:rsidR="00F325CC" w:rsidRPr="00F325CC" w:rsidRDefault="00F325CC" w:rsidP="00F325CC">
      <w:pPr>
        <w:widowControl/>
        <w:shd w:val="clear" w:color="auto" w:fill="FFFFFF"/>
        <w:spacing w:line="360" w:lineRule="auto"/>
        <w:ind w:left="720"/>
        <w:jc w:val="left"/>
        <w:rPr>
          <w:rFonts w:ascii="Calibri" w:eastAsia="宋体" w:hAnsi="Calibri" w:cs="宋体"/>
          <w:color w:val="000000"/>
          <w:kern w:val="0"/>
          <w:sz w:val="22"/>
        </w:rPr>
      </w:pPr>
      <w:r w:rsidRPr="00F325CC">
        <w:rPr>
          <w:rFonts w:ascii="宋体" w:eastAsia="宋体" w:hAnsi="宋体" w:cs="宋体" w:hint="eastAsia"/>
          <w:color w:val="000000"/>
          <w:kern w:val="0"/>
          <w:sz w:val="24"/>
          <w:szCs w:val="24"/>
        </w:rPr>
        <w:t>秦山核电厂海堤改造应该给出完工期，以便监管。 </w:t>
      </w:r>
    </w:p>
    <w:p w:rsidR="00F325CC" w:rsidRPr="00F325CC" w:rsidRDefault="00F325CC" w:rsidP="00F325CC">
      <w:pPr>
        <w:widowControl/>
        <w:shd w:val="clear" w:color="auto" w:fill="FFFFFF"/>
        <w:spacing w:after="160"/>
        <w:ind w:left="720" w:hanging="360"/>
        <w:jc w:val="left"/>
        <w:rPr>
          <w:rFonts w:ascii="Calibri" w:eastAsia="宋体" w:hAnsi="Calibri" w:cs="宋体"/>
          <w:color w:val="000000"/>
          <w:kern w:val="0"/>
          <w:sz w:val="22"/>
        </w:rPr>
      </w:pPr>
      <w:r w:rsidRPr="00F325CC">
        <w:rPr>
          <w:rFonts w:ascii="宋体" w:eastAsia="宋体" w:hAnsi="宋体" w:cs="宋体" w:hint="eastAsia"/>
          <w:color w:val="000000"/>
          <w:kern w:val="0"/>
          <w:sz w:val="24"/>
          <w:szCs w:val="24"/>
        </w:rPr>
        <w:t>2.应急电源</w:t>
      </w:r>
    </w:p>
    <w:tbl>
      <w:tblPr>
        <w:tblW w:w="0" w:type="auto"/>
        <w:tblInd w:w="562" w:type="dxa"/>
        <w:shd w:val="clear" w:color="auto" w:fill="FFFFFF"/>
        <w:tblCellMar>
          <w:left w:w="0" w:type="dxa"/>
          <w:right w:w="0" w:type="dxa"/>
        </w:tblCellMar>
        <w:tblLook w:val="04A0" w:firstRow="1" w:lastRow="0" w:firstColumn="1" w:lastColumn="0" w:noHBand="0" w:noVBand="1"/>
      </w:tblPr>
      <w:tblGrid>
        <w:gridCol w:w="1666"/>
        <w:gridCol w:w="939"/>
        <w:gridCol w:w="1424"/>
        <w:gridCol w:w="1416"/>
        <w:gridCol w:w="1212"/>
        <w:gridCol w:w="1067"/>
      </w:tblGrid>
      <w:tr w:rsidR="00F325CC" w:rsidRPr="00F325CC" w:rsidTr="00F325CC">
        <w:tc>
          <w:tcPr>
            <w:tcW w:w="16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b/>
                <w:bCs/>
                <w:kern w:val="0"/>
                <w:sz w:val="24"/>
                <w:szCs w:val="24"/>
              </w:rPr>
              <w:t>电厂</w:t>
            </w:r>
          </w:p>
        </w:tc>
        <w:tc>
          <w:tcPr>
            <w:tcW w:w="9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b/>
                <w:bCs/>
                <w:kern w:val="0"/>
                <w:sz w:val="24"/>
                <w:szCs w:val="24"/>
              </w:rPr>
              <w:t>机组数（台）</w:t>
            </w:r>
          </w:p>
        </w:tc>
        <w:tc>
          <w:tcPr>
            <w:tcW w:w="142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b/>
                <w:bCs/>
                <w:kern w:val="0"/>
                <w:sz w:val="24"/>
                <w:szCs w:val="24"/>
              </w:rPr>
              <w:t>EDG （for LOOP）</w:t>
            </w:r>
          </w:p>
        </w:tc>
        <w:tc>
          <w:tcPr>
            <w:tcW w:w="14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b/>
                <w:bCs/>
                <w:kern w:val="0"/>
                <w:sz w:val="24"/>
                <w:szCs w:val="24"/>
              </w:rPr>
              <w:t>AAC DG (whole plant)</w:t>
            </w:r>
          </w:p>
        </w:tc>
        <w:tc>
          <w:tcPr>
            <w:tcW w:w="121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proofErr w:type="gramStart"/>
            <w:r w:rsidRPr="00F325CC">
              <w:rPr>
                <w:rFonts w:ascii="宋体" w:eastAsia="宋体" w:hAnsi="宋体" w:cs="Times New Roman" w:hint="eastAsia"/>
                <w:b/>
                <w:bCs/>
                <w:kern w:val="0"/>
                <w:sz w:val="24"/>
                <w:szCs w:val="24"/>
              </w:rPr>
              <w:t>汽动或</w:t>
            </w:r>
            <w:proofErr w:type="gramEnd"/>
            <w:r w:rsidRPr="00F325CC">
              <w:rPr>
                <w:rFonts w:ascii="宋体" w:eastAsia="宋体" w:hAnsi="宋体" w:cs="Times New Roman" w:hint="eastAsia"/>
                <w:b/>
                <w:bCs/>
                <w:kern w:val="0"/>
                <w:sz w:val="24"/>
                <w:szCs w:val="24"/>
              </w:rPr>
              <w:t>柴油发电机（充电用）</w:t>
            </w:r>
          </w:p>
        </w:tc>
        <w:tc>
          <w:tcPr>
            <w:tcW w:w="10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proofErr w:type="gramStart"/>
            <w:r w:rsidRPr="00F325CC">
              <w:rPr>
                <w:rFonts w:ascii="宋体" w:eastAsia="宋体" w:hAnsi="宋体" w:cs="Times New Roman" w:hint="eastAsia"/>
                <w:b/>
                <w:bCs/>
                <w:kern w:val="0"/>
                <w:sz w:val="24"/>
                <w:szCs w:val="24"/>
              </w:rPr>
              <w:t>各厂汽动</w:t>
            </w:r>
            <w:proofErr w:type="gramEnd"/>
            <w:r w:rsidRPr="00F325CC">
              <w:rPr>
                <w:rFonts w:ascii="宋体" w:eastAsia="宋体" w:hAnsi="宋体" w:cs="Times New Roman" w:hint="eastAsia"/>
                <w:b/>
                <w:bCs/>
                <w:kern w:val="0"/>
                <w:sz w:val="24"/>
                <w:szCs w:val="24"/>
              </w:rPr>
              <w:t>/柴油发电机总数（台）</w:t>
            </w:r>
          </w:p>
        </w:tc>
      </w:tr>
      <w:tr w:rsidR="00F325CC" w:rsidRPr="00F325CC" w:rsidTr="00F325CC">
        <w:tc>
          <w:tcPr>
            <w:tcW w:w="1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b/>
                <w:bCs/>
                <w:kern w:val="0"/>
                <w:sz w:val="24"/>
                <w:szCs w:val="24"/>
              </w:rPr>
              <w:t>秦山核电厂，CNP300</w:t>
            </w:r>
          </w:p>
        </w:tc>
        <w:tc>
          <w:tcPr>
            <w:tcW w:w="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1</w:t>
            </w: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2 x 2000kW per unit, N+0?</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1 x 2000kW</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w:t>
            </w:r>
          </w:p>
        </w:tc>
        <w:tc>
          <w:tcPr>
            <w:tcW w:w="1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3</w:t>
            </w:r>
          </w:p>
        </w:tc>
      </w:tr>
      <w:tr w:rsidR="00F325CC" w:rsidRPr="00F325CC" w:rsidTr="00F325CC">
        <w:tc>
          <w:tcPr>
            <w:tcW w:w="1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b/>
                <w:bCs/>
                <w:kern w:val="0"/>
                <w:sz w:val="24"/>
                <w:szCs w:val="24"/>
              </w:rPr>
              <w:t>秦山核电厂秦山第二核电厂， CNP600</w:t>
            </w:r>
          </w:p>
        </w:tc>
        <w:tc>
          <w:tcPr>
            <w:tcW w:w="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4</w:t>
            </w: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2 x 6000kW per unit, N+0?</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1 x 6000kW</w:t>
            </w:r>
          </w:p>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No diversity?</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每两机组共用一台200kW柴油发电机</w:t>
            </w:r>
          </w:p>
        </w:tc>
        <w:tc>
          <w:tcPr>
            <w:tcW w:w="1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11</w:t>
            </w:r>
          </w:p>
        </w:tc>
      </w:tr>
      <w:tr w:rsidR="00F325CC" w:rsidRPr="00F325CC" w:rsidTr="00F325CC">
        <w:tc>
          <w:tcPr>
            <w:tcW w:w="1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b/>
                <w:bCs/>
                <w:kern w:val="0"/>
                <w:sz w:val="24"/>
                <w:szCs w:val="24"/>
              </w:rPr>
              <w:t>秦山核电厂秦山第三核电厂CANDU</w:t>
            </w:r>
          </w:p>
        </w:tc>
        <w:tc>
          <w:tcPr>
            <w:tcW w:w="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2</w:t>
            </w: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2 x 8200kW per unit, N+1?</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2 x 1280kW</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w:t>
            </w:r>
          </w:p>
        </w:tc>
        <w:tc>
          <w:tcPr>
            <w:tcW w:w="1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6</w:t>
            </w:r>
          </w:p>
        </w:tc>
      </w:tr>
      <w:tr w:rsidR="00F325CC" w:rsidRPr="00F325CC" w:rsidTr="00F325CC">
        <w:tc>
          <w:tcPr>
            <w:tcW w:w="1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b/>
                <w:bCs/>
                <w:kern w:val="0"/>
                <w:sz w:val="24"/>
                <w:szCs w:val="24"/>
              </w:rPr>
              <w:t>田湾核电厂VVER1000</w:t>
            </w:r>
          </w:p>
        </w:tc>
        <w:tc>
          <w:tcPr>
            <w:tcW w:w="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2</w:t>
            </w: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4 x 5500kW per unit, N+2?</w:t>
            </w:r>
          </w:p>
        </w:tc>
        <w:tc>
          <w:tcPr>
            <w:tcW w:w="14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2 x 5000kW</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一台移动柴油发电机</w:t>
            </w:r>
          </w:p>
        </w:tc>
        <w:tc>
          <w:tcPr>
            <w:tcW w:w="1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13</w:t>
            </w:r>
          </w:p>
        </w:tc>
      </w:tr>
      <w:tr w:rsidR="00F325CC" w:rsidRPr="00F325CC" w:rsidTr="00F325CC">
        <w:tc>
          <w:tcPr>
            <w:tcW w:w="1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b/>
                <w:bCs/>
                <w:kern w:val="0"/>
                <w:sz w:val="24"/>
                <w:szCs w:val="24"/>
              </w:rPr>
              <w:t>大亚湾核电厂M310</w:t>
            </w:r>
          </w:p>
        </w:tc>
        <w:tc>
          <w:tcPr>
            <w:tcW w:w="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2</w:t>
            </w: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2 x 5400kW per unit, N+0?</w:t>
            </w:r>
          </w:p>
        </w:tc>
        <w:tc>
          <w:tcPr>
            <w:tcW w:w="1416"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1 x 5400kW</w:t>
            </w:r>
          </w:p>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No diversity?</w:t>
            </w: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共用一台200kW柴油发电机</w:t>
            </w:r>
          </w:p>
        </w:tc>
        <w:tc>
          <w:tcPr>
            <w:tcW w:w="1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4.16？</w:t>
            </w:r>
          </w:p>
        </w:tc>
      </w:tr>
      <w:tr w:rsidR="00F325CC" w:rsidRPr="00F325CC" w:rsidTr="00F325CC">
        <w:tc>
          <w:tcPr>
            <w:tcW w:w="1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b/>
                <w:bCs/>
                <w:kern w:val="0"/>
                <w:sz w:val="24"/>
                <w:szCs w:val="24"/>
              </w:rPr>
              <w:lastRenderedPageBreak/>
              <w:t>岭澳一期，M310</w:t>
            </w:r>
          </w:p>
        </w:tc>
        <w:tc>
          <w:tcPr>
            <w:tcW w:w="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2</w:t>
            </w: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2 x 5400kW per unit, N+0?</w:t>
            </w:r>
          </w:p>
        </w:tc>
        <w:tc>
          <w:tcPr>
            <w:tcW w:w="1416" w:type="dxa"/>
            <w:vMerge/>
            <w:tcBorders>
              <w:top w:val="nil"/>
              <w:left w:val="nil"/>
              <w:bottom w:val="single" w:sz="8" w:space="0" w:color="auto"/>
              <w:right w:val="single" w:sz="8" w:space="0" w:color="auto"/>
            </w:tcBorders>
            <w:shd w:val="clear" w:color="auto" w:fill="FFFFFF"/>
            <w:vAlign w:val="center"/>
            <w:hideMark/>
          </w:tcPr>
          <w:p w:rsidR="00F325CC" w:rsidRPr="00F325CC" w:rsidRDefault="00F325CC" w:rsidP="00F325CC">
            <w:pPr>
              <w:widowControl/>
              <w:jc w:val="left"/>
              <w:rPr>
                <w:rFonts w:ascii="Times New Roman" w:eastAsia="宋体" w:hAnsi="Times New Roman" w:cs="Times New Roman"/>
                <w:kern w:val="0"/>
                <w:sz w:val="24"/>
                <w:szCs w:val="24"/>
              </w:rPr>
            </w:pP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共用一台200kW柴油发电机</w:t>
            </w:r>
          </w:p>
        </w:tc>
        <w:tc>
          <w:tcPr>
            <w:tcW w:w="1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4.16？</w:t>
            </w:r>
          </w:p>
        </w:tc>
      </w:tr>
      <w:tr w:rsidR="00F325CC" w:rsidRPr="00F325CC" w:rsidTr="00F325CC">
        <w:tc>
          <w:tcPr>
            <w:tcW w:w="16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b/>
                <w:bCs/>
                <w:kern w:val="0"/>
                <w:sz w:val="24"/>
                <w:szCs w:val="24"/>
              </w:rPr>
              <w:t>岭澳二期，CPR1000</w:t>
            </w:r>
          </w:p>
        </w:tc>
        <w:tc>
          <w:tcPr>
            <w:tcW w:w="9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2</w:t>
            </w:r>
          </w:p>
        </w:tc>
        <w:tc>
          <w:tcPr>
            <w:tcW w:w="142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2 x 5400kW per unit, N+0?</w:t>
            </w:r>
          </w:p>
        </w:tc>
        <w:tc>
          <w:tcPr>
            <w:tcW w:w="1416" w:type="dxa"/>
            <w:vMerge/>
            <w:tcBorders>
              <w:top w:val="nil"/>
              <w:left w:val="nil"/>
              <w:bottom w:val="single" w:sz="8" w:space="0" w:color="auto"/>
              <w:right w:val="single" w:sz="8" w:space="0" w:color="auto"/>
            </w:tcBorders>
            <w:shd w:val="clear" w:color="auto" w:fill="FFFFFF"/>
            <w:vAlign w:val="center"/>
            <w:hideMark/>
          </w:tcPr>
          <w:p w:rsidR="00F325CC" w:rsidRPr="00F325CC" w:rsidRDefault="00F325CC" w:rsidP="00F325CC">
            <w:pPr>
              <w:widowControl/>
              <w:jc w:val="left"/>
              <w:rPr>
                <w:rFonts w:ascii="Times New Roman" w:eastAsia="宋体" w:hAnsi="Times New Roman" w:cs="Times New Roman"/>
                <w:kern w:val="0"/>
                <w:sz w:val="24"/>
                <w:szCs w:val="24"/>
              </w:rPr>
            </w:pPr>
          </w:p>
        </w:tc>
        <w:tc>
          <w:tcPr>
            <w:tcW w:w="121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共用一台200kW柴油发电机</w:t>
            </w:r>
          </w:p>
        </w:tc>
        <w:tc>
          <w:tcPr>
            <w:tcW w:w="1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F325CC" w:rsidRPr="00F325CC" w:rsidRDefault="00F325CC" w:rsidP="00F325CC">
            <w:pPr>
              <w:widowControl/>
              <w:jc w:val="center"/>
              <w:rPr>
                <w:rFonts w:ascii="Times New Roman" w:eastAsia="宋体" w:hAnsi="Times New Roman" w:cs="Times New Roman"/>
                <w:kern w:val="0"/>
                <w:sz w:val="24"/>
                <w:szCs w:val="24"/>
              </w:rPr>
            </w:pPr>
            <w:r w:rsidRPr="00F325CC">
              <w:rPr>
                <w:rFonts w:ascii="宋体" w:eastAsia="宋体" w:hAnsi="宋体" w:cs="Times New Roman" w:hint="eastAsia"/>
                <w:kern w:val="0"/>
                <w:sz w:val="24"/>
                <w:szCs w:val="24"/>
              </w:rPr>
              <w:t>4.16？</w:t>
            </w:r>
          </w:p>
        </w:tc>
      </w:tr>
    </w:tbl>
    <w:p w:rsidR="00F325CC" w:rsidRPr="00F325CC" w:rsidRDefault="00F325CC" w:rsidP="00F325CC">
      <w:pPr>
        <w:widowControl/>
        <w:shd w:val="clear" w:color="auto" w:fill="FFFFFF"/>
        <w:spacing w:line="360" w:lineRule="auto"/>
        <w:ind w:left="709"/>
        <w:jc w:val="left"/>
        <w:rPr>
          <w:rFonts w:ascii="Times New Roman" w:eastAsia="宋体" w:hAnsi="Times New Roman" w:cs="Times New Roman"/>
          <w:color w:val="000000"/>
          <w:kern w:val="0"/>
          <w:sz w:val="24"/>
          <w:szCs w:val="24"/>
        </w:rPr>
      </w:pPr>
      <w:r w:rsidRPr="00F325CC">
        <w:rPr>
          <w:rFonts w:ascii="宋体" w:eastAsia="宋体" w:hAnsi="宋体" w:cs="Times New Roman" w:hint="eastAsia"/>
          <w:color w:val="000000"/>
          <w:kern w:val="0"/>
          <w:sz w:val="24"/>
          <w:szCs w:val="24"/>
        </w:rPr>
        <w:t>下列问题请予以解答，以便正确理解。</w:t>
      </w:r>
    </w:p>
    <w:p w:rsidR="00F325CC" w:rsidRPr="00F325CC" w:rsidRDefault="00F325CC" w:rsidP="00F325CC">
      <w:pPr>
        <w:widowControl/>
        <w:shd w:val="clear" w:color="auto" w:fill="FFFFFF"/>
        <w:spacing w:line="360" w:lineRule="auto"/>
        <w:ind w:left="720"/>
        <w:jc w:val="left"/>
        <w:rPr>
          <w:rFonts w:ascii="Calibri" w:eastAsia="宋体" w:hAnsi="Calibri" w:cs="宋体"/>
          <w:color w:val="000000"/>
          <w:kern w:val="0"/>
          <w:sz w:val="22"/>
        </w:rPr>
      </w:pPr>
      <w:r w:rsidRPr="00F325CC">
        <w:rPr>
          <w:rFonts w:ascii="宋体" w:eastAsia="宋体" w:hAnsi="宋体" w:cs="宋体" w:hint="eastAsia"/>
          <w:color w:val="000000"/>
          <w:kern w:val="0"/>
          <w:sz w:val="24"/>
          <w:szCs w:val="24"/>
        </w:rPr>
        <w:t>文中在谈到失去厂外电源， 启动柴油发电机时：</w:t>
      </w:r>
    </w:p>
    <w:p w:rsidR="00F325CC" w:rsidRPr="00F325CC" w:rsidRDefault="00F325CC" w:rsidP="00F325CC">
      <w:pPr>
        <w:widowControl/>
        <w:shd w:val="clear" w:color="auto" w:fill="FFFFFF"/>
        <w:spacing w:line="360" w:lineRule="auto"/>
        <w:ind w:left="709"/>
        <w:jc w:val="left"/>
        <w:rPr>
          <w:rFonts w:ascii="Calibri" w:eastAsia="宋体" w:hAnsi="Calibri" w:cs="宋体"/>
          <w:color w:val="000000"/>
          <w:kern w:val="0"/>
          <w:sz w:val="22"/>
        </w:rPr>
      </w:pPr>
      <w:r w:rsidRPr="00F325CC">
        <w:rPr>
          <w:rFonts w:ascii="宋体" w:eastAsia="宋体" w:hAnsi="宋体" w:cs="宋体" w:hint="eastAsia"/>
          <w:b/>
          <w:color w:val="000000"/>
          <w:kern w:val="0"/>
          <w:sz w:val="24"/>
          <w:szCs w:val="24"/>
        </w:rPr>
        <w:t>a.</w:t>
      </w:r>
      <w:r w:rsidRPr="00F325CC">
        <w:rPr>
          <w:rFonts w:ascii="宋体" w:eastAsia="宋体" w:hAnsi="宋体" w:cs="宋体" w:hint="eastAsia"/>
          <w:color w:val="000000"/>
          <w:kern w:val="0"/>
          <w:sz w:val="24"/>
          <w:szCs w:val="24"/>
        </w:rPr>
        <w:t>秦山核电厂：“失去场外电源后自动启动两台应急柴油发电机组。两台应急柴油发电机组众任一台有故障时可手动投入第三台备用柴油发电机组；”</w:t>
      </w:r>
    </w:p>
    <w:p w:rsidR="00F325CC" w:rsidRPr="00F325CC" w:rsidRDefault="00F325CC" w:rsidP="00F325CC">
      <w:pPr>
        <w:widowControl/>
        <w:shd w:val="clear" w:color="auto" w:fill="FFFFFF"/>
        <w:spacing w:line="360" w:lineRule="auto"/>
        <w:ind w:left="1276"/>
        <w:jc w:val="left"/>
        <w:rPr>
          <w:rFonts w:ascii="Calibri" w:eastAsia="宋体" w:hAnsi="Calibri" w:cs="宋体"/>
          <w:color w:val="000000"/>
          <w:kern w:val="0"/>
          <w:sz w:val="22"/>
        </w:rPr>
      </w:pPr>
      <w:proofErr w:type="spellStart"/>
      <w:r w:rsidRPr="00F325CC">
        <w:rPr>
          <w:rFonts w:ascii="宋体" w:eastAsia="宋体" w:hAnsi="宋体" w:cs="宋体" w:hint="eastAsia"/>
          <w:b/>
          <w:color w:val="000000"/>
          <w:kern w:val="0"/>
          <w:sz w:val="24"/>
          <w:szCs w:val="24"/>
        </w:rPr>
        <w:t>i</w:t>
      </w:r>
      <w:proofErr w:type="spellEnd"/>
      <w:r w:rsidRPr="00F325CC">
        <w:rPr>
          <w:rFonts w:ascii="宋体" w:eastAsia="宋体" w:hAnsi="宋体" w:cs="宋体" w:hint="eastAsia"/>
          <w:b/>
          <w:color w:val="000000"/>
          <w:kern w:val="0"/>
          <w:sz w:val="24"/>
          <w:szCs w:val="24"/>
        </w:rPr>
        <w:t>.</w:t>
      </w:r>
      <w:r w:rsidRPr="00F325CC">
        <w:rPr>
          <w:rFonts w:ascii="宋体" w:eastAsia="宋体" w:hAnsi="宋体" w:cs="宋体" w:hint="eastAsia"/>
          <w:color w:val="000000"/>
          <w:kern w:val="0"/>
          <w:sz w:val="24"/>
          <w:szCs w:val="24"/>
        </w:rPr>
        <w:t>如果需要同时启动两台应急柴油发电机组，那么EDG的配置就是N+0。 这里提到的第三台应该属于IAEA/NRC所定义的Alternative AC Diesel Generator (AAC DG)。</w:t>
      </w:r>
    </w:p>
    <w:p w:rsidR="00F325CC" w:rsidRPr="00F325CC" w:rsidRDefault="00F325CC" w:rsidP="00F325CC">
      <w:pPr>
        <w:widowControl/>
        <w:shd w:val="clear" w:color="auto" w:fill="FFFFFF"/>
        <w:spacing w:line="360" w:lineRule="auto"/>
        <w:ind w:left="709"/>
        <w:jc w:val="left"/>
        <w:rPr>
          <w:rFonts w:ascii="宋体" w:eastAsia="宋体" w:hAnsi="宋体" w:cs="宋体"/>
          <w:color w:val="000000"/>
          <w:kern w:val="0"/>
          <w:sz w:val="24"/>
          <w:szCs w:val="24"/>
        </w:rPr>
      </w:pPr>
      <w:r w:rsidRPr="00F325CC">
        <w:rPr>
          <w:rFonts w:ascii="宋体" w:eastAsia="宋体" w:hAnsi="宋体" w:cs="宋体" w:hint="eastAsia"/>
          <w:b/>
          <w:color w:val="000000"/>
          <w:kern w:val="0"/>
          <w:sz w:val="24"/>
          <w:szCs w:val="24"/>
        </w:rPr>
        <w:t>b.</w:t>
      </w:r>
      <w:r w:rsidRPr="00F325CC">
        <w:rPr>
          <w:rFonts w:ascii="宋体" w:eastAsia="宋体" w:hAnsi="宋体" w:cs="宋体" w:hint="eastAsia"/>
          <w:color w:val="000000"/>
          <w:kern w:val="0"/>
          <w:sz w:val="24"/>
          <w:szCs w:val="24"/>
        </w:rPr>
        <w:t>CNP600 (秦山第二核电厂）M310(大亚湾、岭澳一期核电厂）及CPR1000(岭澳二期核电厂）“失去场外电后，这两台应急柴油发电机组会自动启动； 每个厂址同型机组配有一台厂址附加柴油发电机组，当任</w:t>
      </w:r>
      <w:proofErr w:type="gramStart"/>
      <w:r w:rsidRPr="00F325CC">
        <w:rPr>
          <w:rFonts w:ascii="宋体" w:eastAsia="宋体" w:hAnsi="宋体" w:cs="宋体" w:hint="eastAsia"/>
          <w:color w:val="000000"/>
          <w:kern w:val="0"/>
          <w:sz w:val="24"/>
          <w:szCs w:val="24"/>
        </w:rPr>
        <w:t>一</w:t>
      </w:r>
      <w:proofErr w:type="gramEnd"/>
      <w:r w:rsidRPr="00F325CC">
        <w:rPr>
          <w:rFonts w:ascii="宋体" w:eastAsia="宋体" w:hAnsi="宋体" w:cs="宋体" w:hint="eastAsia"/>
          <w:color w:val="000000"/>
          <w:kern w:val="0"/>
          <w:sz w:val="24"/>
          <w:szCs w:val="24"/>
        </w:rPr>
        <w:t>机组的应急柴油发电机组有故障时可手动投入厂址附加柴油发电机组；……”</w:t>
      </w:r>
    </w:p>
    <w:p w:rsidR="00F325CC" w:rsidRPr="00F325CC" w:rsidRDefault="00F325CC" w:rsidP="00F325CC">
      <w:pPr>
        <w:widowControl/>
        <w:shd w:val="clear" w:color="auto" w:fill="FFFFFF"/>
        <w:spacing w:line="360" w:lineRule="auto"/>
        <w:ind w:left="1276"/>
        <w:jc w:val="left"/>
        <w:rPr>
          <w:rFonts w:ascii="宋体" w:eastAsia="宋体" w:hAnsi="宋体" w:cs="宋体"/>
          <w:color w:val="000000"/>
          <w:kern w:val="0"/>
          <w:sz w:val="24"/>
          <w:szCs w:val="24"/>
        </w:rPr>
      </w:pPr>
      <w:proofErr w:type="spellStart"/>
      <w:r w:rsidRPr="00F325CC">
        <w:rPr>
          <w:rFonts w:ascii="宋体" w:eastAsia="宋体" w:hAnsi="宋体" w:cs="宋体" w:hint="eastAsia"/>
          <w:b/>
          <w:color w:val="000000"/>
          <w:kern w:val="0"/>
          <w:sz w:val="24"/>
          <w:szCs w:val="24"/>
        </w:rPr>
        <w:t>i</w:t>
      </w:r>
      <w:proofErr w:type="spellEnd"/>
      <w:r w:rsidRPr="00F325CC">
        <w:rPr>
          <w:rFonts w:ascii="宋体" w:eastAsia="宋体" w:hAnsi="宋体" w:cs="宋体" w:hint="eastAsia"/>
          <w:b/>
          <w:color w:val="000000"/>
          <w:kern w:val="0"/>
          <w:sz w:val="24"/>
          <w:szCs w:val="24"/>
        </w:rPr>
        <w:t>.</w:t>
      </w:r>
      <w:r w:rsidRPr="00F325CC">
        <w:rPr>
          <w:rFonts w:ascii="宋体" w:eastAsia="宋体" w:hAnsi="宋体" w:cs="宋体" w:hint="eastAsia"/>
          <w:color w:val="000000"/>
          <w:kern w:val="0"/>
          <w:sz w:val="24"/>
          <w:szCs w:val="24"/>
        </w:rPr>
        <w:t>依据上述，EDG的配置是N+0，也就是说只有两台Duty机组，没有备用，更没有检修？</w:t>
      </w:r>
    </w:p>
    <w:p w:rsidR="00F325CC" w:rsidRPr="00F325CC" w:rsidRDefault="00F325CC" w:rsidP="00F325CC">
      <w:pPr>
        <w:widowControl/>
        <w:shd w:val="clear" w:color="auto" w:fill="FFFFFF"/>
        <w:spacing w:line="360" w:lineRule="auto"/>
        <w:ind w:left="1276"/>
        <w:jc w:val="left"/>
        <w:rPr>
          <w:rFonts w:ascii="宋体" w:eastAsia="宋体" w:hAnsi="宋体" w:cs="宋体"/>
          <w:color w:val="000000"/>
          <w:kern w:val="0"/>
          <w:sz w:val="24"/>
          <w:szCs w:val="24"/>
        </w:rPr>
      </w:pPr>
      <w:proofErr w:type="spellStart"/>
      <w:r w:rsidRPr="00F325CC">
        <w:rPr>
          <w:rFonts w:ascii="宋体" w:eastAsia="宋体" w:hAnsi="宋体" w:cs="宋体" w:hint="eastAsia"/>
          <w:b/>
          <w:color w:val="000000"/>
          <w:kern w:val="0"/>
          <w:sz w:val="24"/>
          <w:szCs w:val="24"/>
        </w:rPr>
        <w:t>ii.</w:t>
      </w:r>
      <w:r w:rsidRPr="00F325CC">
        <w:rPr>
          <w:rFonts w:ascii="宋体" w:eastAsia="宋体" w:hAnsi="宋体" w:cs="宋体" w:hint="eastAsia"/>
          <w:color w:val="000000"/>
          <w:kern w:val="0"/>
          <w:sz w:val="24"/>
          <w:szCs w:val="24"/>
        </w:rPr>
        <w:t>EDG</w:t>
      </w:r>
      <w:proofErr w:type="spellEnd"/>
      <w:r w:rsidRPr="00F325CC">
        <w:rPr>
          <w:rFonts w:ascii="宋体" w:eastAsia="宋体" w:hAnsi="宋体" w:cs="宋体" w:hint="eastAsia"/>
          <w:color w:val="000000"/>
          <w:kern w:val="0"/>
          <w:sz w:val="24"/>
          <w:szCs w:val="24"/>
        </w:rPr>
        <w:t>和AAC DG容量相同，好像是同类设备，不具备Diversity，没有考虑Common Cause Failure (CCF)？</w:t>
      </w:r>
    </w:p>
    <w:p w:rsidR="00F325CC" w:rsidRPr="00F325CC" w:rsidRDefault="00F325CC" w:rsidP="00F325CC">
      <w:pPr>
        <w:widowControl/>
        <w:shd w:val="clear" w:color="auto" w:fill="FFFFFF"/>
        <w:spacing w:line="360" w:lineRule="auto"/>
        <w:ind w:left="1276"/>
        <w:jc w:val="left"/>
        <w:rPr>
          <w:rFonts w:ascii="宋体" w:eastAsia="宋体" w:hAnsi="宋体" w:cs="宋体"/>
          <w:color w:val="000000"/>
          <w:kern w:val="0"/>
          <w:sz w:val="24"/>
          <w:szCs w:val="24"/>
        </w:rPr>
      </w:pPr>
      <w:r w:rsidRPr="00F325CC">
        <w:rPr>
          <w:rFonts w:ascii="宋体" w:eastAsia="宋体" w:hAnsi="宋体" w:cs="宋体" w:hint="eastAsia"/>
          <w:b/>
          <w:color w:val="000000"/>
          <w:kern w:val="0"/>
          <w:sz w:val="24"/>
          <w:szCs w:val="24"/>
        </w:rPr>
        <w:t>iii.</w:t>
      </w:r>
      <w:r w:rsidRPr="00F325CC">
        <w:rPr>
          <w:rFonts w:ascii="宋体" w:eastAsia="宋体" w:hAnsi="宋体" w:cs="宋体" w:hint="eastAsia"/>
          <w:color w:val="000000"/>
          <w:kern w:val="0"/>
          <w:sz w:val="24"/>
          <w:szCs w:val="24"/>
        </w:rPr>
        <w:t>中广核的6台机组共用一台AAC DG？</w:t>
      </w:r>
    </w:p>
    <w:p w:rsidR="00F325CC" w:rsidRPr="00F325CC" w:rsidRDefault="00F325CC" w:rsidP="00F325CC">
      <w:pPr>
        <w:widowControl/>
        <w:shd w:val="clear" w:color="auto" w:fill="FFFFFF"/>
        <w:spacing w:line="360" w:lineRule="auto"/>
        <w:ind w:left="1276"/>
        <w:jc w:val="left"/>
        <w:rPr>
          <w:rFonts w:ascii="宋体" w:eastAsia="宋体" w:hAnsi="宋体" w:cs="宋体"/>
          <w:color w:val="000000"/>
          <w:kern w:val="0"/>
          <w:sz w:val="24"/>
          <w:szCs w:val="24"/>
        </w:rPr>
      </w:pPr>
      <w:r w:rsidRPr="00F325CC">
        <w:rPr>
          <w:rFonts w:ascii="宋体" w:eastAsia="宋体" w:hAnsi="宋体" w:cs="宋体" w:hint="eastAsia"/>
          <w:b/>
          <w:color w:val="000000"/>
          <w:kern w:val="0"/>
          <w:sz w:val="24"/>
          <w:szCs w:val="24"/>
        </w:rPr>
        <w:t>iv.</w:t>
      </w:r>
      <w:r w:rsidRPr="00F325CC">
        <w:rPr>
          <w:rFonts w:ascii="宋体" w:eastAsia="宋体" w:hAnsi="宋体" w:cs="宋体" w:hint="eastAsia"/>
          <w:color w:val="000000"/>
          <w:kern w:val="0"/>
          <w:sz w:val="24"/>
          <w:szCs w:val="24"/>
        </w:rPr>
        <w:t>中广核的三个电厂的柴油发电机总数应该分别计算。</w:t>
      </w:r>
      <w:r w:rsidRPr="00F325CC">
        <w:rPr>
          <w:rFonts w:ascii="宋体" w:eastAsia="宋体" w:hAnsi="宋体" w:cs="宋体" w:hint="eastAsia"/>
          <w:b/>
          <w:color w:val="000000"/>
          <w:kern w:val="0"/>
          <w:sz w:val="24"/>
          <w:szCs w:val="24"/>
        </w:rPr>
        <w:t>各厂汽/</w:t>
      </w:r>
      <w:proofErr w:type="gramStart"/>
      <w:r w:rsidRPr="00F325CC">
        <w:rPr>
          <w:rFonts w:ascii="宋体" w:eastAsia="宋体" w:hAnsi="宋体" w:cs="宋体" w:hint="eastAsia"/>
          <w:b/>
          <w:color w:val="000000"/>
          <w:kern w:val="0"/>
          <w:sz w:val="24"/>
          <w:szCs w:val="24"/>
        </w:rPr>
        <w:t>柴油国</w:t>
      </w:r>
      <w:proofErr w:type="gramEnd"/>
      <w:r w:rsidRPr="00F325CC">
        <w:rPr>
          <w:rFonts w:ascii="宋体" w:eastAsia="宋体" w:hAnsi="宋体" w:cs="宋体" w:hint="eastAsia"/>
          <w:b/>
          <w:color w:val="000000"/>
          <w:kern w:val="0"/>
          <w:sz w:val="24"/>
          <w:szCs w:val="24"/>
        </w:rPr>
        <w:t>发电机总数</w:t>
      </w:r>
      <w:r w:rsidRPr="00F325CC">
        <w:rPr>
          <w:rFonts w:ascii="宋体" w:eastAsia="宋体" w:hAnsi="宋体" w:cs="宋体" w:hint="eastAsia"/>
          <w:color w:val="000000"/>
          <w:kern w:val="0"/>
          <w:sz w:val="24"/>
          <w:szCs w:val="24"/>
        </w:rPr>
        <w:t>为10台是否为笔误？如果以总数计算，对于像福</w:t>
      </w:r>
      <w:proofErr w:type="gramStart"/>
      <w:r w:rsidRPr="00F325CC">
        <w:rPr>
          <w:rFonts w:ascii="宋体" w:eastAsia="宋体" w:hAnsi="宋体" w:cs="宋体" w:hint="eastAsia"/>
          <w:color w:val="000000"/>
          <w:kern w:val="0"/>
          <w:sz w:val="24"/>
          <w:szCs w:val="24"/>
        </w:rPr>
        <w:t>岛事件</w:t>
      </w:r>
      <w:proofErr w:type="gramEnd"/>
      <w:r w:rsidRPr="00F325CC">
        <w:rPr>
          <w:rFonts w:ascii="宋体" w:eastAsia="宋体" w:hAnsi="宋体" w:cs="宋体" w:hint="eastAsia"/>
          <w:color w:val="000000"/>
          <w:kern w:val="0"/>
          <w:sz w:val="24"/>
          <w:szCs w:val="24"/>
        </w:rPr>
        <w:t>6台机组同时遭遇紧急情况时如何应对？</w:t>
      </w:r>
    </w:p>
    <w:p w:rsidR="00F325CC" w:rsidRPr="00F325CC" w:rsidRDefault="00F325CC" w:rsidP="00F325CC">
      <w:pPr>
        <w:widowControl/>
        <w:shd w:val="clear" w:color="auto" w:fill="FFFFFF"/>
        <w:spacing w:line="360" w:lineRule="auto"/>
        <w:ind w:left="709"/>
        <w:jc w:val="left"/>
        <w:rPr>
          <w:rFonts w:ascii="宋体" w:eastAsia="宋体" w:hAnsi="宋体" w:cs="宋体"/>
          <w:color w:val="000000"/>
          <w:kern w:val="0"/>
          <w:sz w:val="24"/>
          <w:szCs w:val="24"/>
        </w:rPr>
      </w:pPr>
      <w:r w:rsidRPr="00F325CC">
        <w:rPr>
          <w:rFonts w:ascii="宋体" w:eastAsia="宋体" w:hAnsi="宋体" w:cs="宋体" w:hint="eastAsia"/>
          <w:b/>
          <w:color w:val="000000"/>
          <w:kern w:val="0"/>
          <w:sz w:val="24"/>
          <w:szCs w:val="24"/>
        </w:rPr>
        <w:t>c.</w:t>
      </w:r>
      <w:r w:rsidRPr="00F325CC">
        <w:rPr>
          <w:rFonts w:ascii="宋体" w:eastAsia="宋体" w:hAnsi="宋体" w:cs="宋体" w:hint="eastAsia"/>
          <w:color w:val="000000"/>
          <w:kern w:val="0"/>
          <w:sz w:val="24"/>
          <w:szCs w:val="24"/>
        </w:rPr>
        <w:t>秦山第三核电厂（CANDU）“当失去场外电时自动启动两台辅助柴油发电机组。当任一台柴油辅助发电机障时， 应急柴油发电机将自动……”</w:t>
      </w:r>
    </w:p>
    <w:p w:rsidR="00F325CC" w:rsidRPr="00F325CC" w:rsidRDefault="00F325CC" w:rsidP="00F325CC">
      <w:pPr>
        <w:widowControl/>
        <w:shd w:val="clear" w:color="auto" w:fill="FFFFFF"/>
        <w:spacing w:line="360" w:lineRule="auto"/>
        <w:ind w:left="1276"/>
        <w:jc w:val="left"/>
        <w:rPr>
          <w:rFonts w:ascii="宋体" w:eastAsia="宋体" w:hAnsi="宋体" w:cs="宋体"/>
          <w:color w:val="000000"/>
          <w:kern w:val="0"/>
          <w:sz w:val="24"/>
          <w:szCs w:val="24"/>
        </w:rPr>
      </w:pPr>
      <w:proofErr w:type="spellStart"/>
      <w:r w:rsidRPr="00F325CC">
        <w:rPr>
          <w:rFonts w:ascii="宋体" w:eastAsia="宋体" w:hAnsi="宋体" w:cs="宋体" w:hint="eastAsia"/>
          <w:b/>
          <w:color w:val="000000"/>
          <w:kern w:val="0"/>
          <w:sz w:val="24"/>
          <w:szCs w:val="24"/>
        </w:rPr>
        <w:lastRenderedPageBreak/>
        <w:t>i</w:t>
      </w:r>
      <w:proofErr w:type="spellEnd"/>
      <w:r w:rsidRPr="00F325CC">
        <w:rPr>
          <w:rFonts w:ascii="宋体" w:eastAsia="宋体" w:hAnsi="宋体" w:cs="宋体" w:hint="eastAsia"/>
          <w:b/>
          <w:color w:val="000000"/>
          <w:kern w:val="0"/>
          <w:sz w:val="24"/>
          <w:szCs w:val="24"/>
        </w:rPr>
        <w:t>.</w:t>
      </w:r>
      <w:r w:rsidRPr="00F325CC">
        <w:rPr>
          <w:rFonts w:ascii="宋体" w:eastAsia="宋体" w:hAnsi="宋体" w:cs="宋体" w:hint="eastAsia"/>
          <w:color w:val="000000"/>
          <w:kern w:val="0"/>
          <w:sz w:val="24"/>
          <w:szCs w:val="24"/>
        </w:rPr>
        <w:t>也许每个核电厂各有自己的术语，但在国家核安全局的报告中术语应该统一。所以这里的辅助应为“应急（EDG）”，应急为“备用（AAC DG）”</w:t>
      </w:r>
    </w:p>
    <w:p w:rsidR="00F325CC" w:rsidRPr="00F325CC" w:rsidRDefault="00F325CC" w:rsidP="00F325CC">
      <w:pPr>
        <w:widowControl/>
        <w:shd w:val="clear" w:color="auto" w:fill="FFFFFF"/>
        <w:spacing w:line="360" w:lineRule="auto"/>
        <w:ind w:left="1276"/>
        <w:jc w:val="left"/>
        <w:rPr>
          <w:rFonts w:ascii="宋体" w:eastAsia="宋体" w:hAnsi="宋体" w:cs="宋体"/>
          <w:color w:val="000000"/>
          <w:kern w:val="0"/>
          <w:sz w:val="24"/>
          <w:szCs w:val="24"/>
        </w:rPr>
      </w:pPr>
      <w:r w:rsidRPr="00F325CC">
        <w:rPr>
          <w:rFonts w:ascii="宋体" w:eastAsia="宋体" w:hAnsi="宋体" w:cs="宋体" w:hint="eastAsia"/>
          <w:b/>
          <w:color w:val="000000"/>
          <w:kern w:val="0"/>
          <w:sz w:val="24"/>
          <w:szCs w:val="24"/>
        </w:rPr>
        <w:t>ii.</w:t>
      </w:r>
      <w:r w:rsidRPr="00F325CC">
        <w:rPr>
          <w:rFonts w:ascii="宋体" w:eastAsia="宋体" w:hAnsi="宋体" w:cs="宋体" w:hint="eastAsia"/>
          <w:color w:val="000000"/>
          <w:kern w:val="0"/>
          <w:sz w:val="24"/>
          <w:szCs w:val="24"/>
        </w:rPr>
        <w:t>这台备用柴油发电机组(1280kW)只是EDG(8200kW)的六分之一，能否直接替换，满足需要？如果功能有变换，应予以说明。</w:t>
      </w:r>
    </w:p>
    <w:p w:rsidR="00F325CC" w:rsidRPr="00F325CC" w:rsidRDefault="00F325CC" w:rsidP="00F325CC">
      <w:pPr>
        <w:widowControl/>
        <w:shd w:val="clear" w:color="auto" w:fill="FFFFFF"/>
        <w:spacing w:line="360" w:lineRule="auto"/>
        <w:ind w:left="709"/>
        <w:jc w:val="left"/>
        <w:rPr>
          <w:rFonts w:ascii="宋体" w:eastAsia="宋体" w:hAnsi="宋体" w:cs="宋体"/>
          <w:color w:val="000000"/>
          <w:kern w:val="0"/>
          <w:sz w:val="24"/>
          <w:szCs w:val="24"/>
        </w:rPr>
      </w:pPr>
      <w:r w:rsidRPr="00F325CC">
        <w:rPr>
          <w:rFonts w:ascii="宋体" w:eastAsia="宋体" w:hAnsi="宋体" w:cs="宋体" w:hint="eastAsia"/>
          <w:b/>
          <w:color w:val="000000"/>
          <w:kern w:val="0"/>
          <w:sz w:val="24"/>
          <w:szCs w:val="24"/>
        </w:rPr>
        <w:t>d.</w:t>
      </w:r>
      <w:r w:rsidRPr="00F325CC">
        <w:rPr>
          <w:rFonts w:ascii="宋体" w:eastAsia="宋体" w:hAnsi="宋体" w:cs="宋体" w:hint="eastAsia"/>
          <w:color w:val="000000"/>
          <w:kern w:val="0"/>
          <w:sz w:val="24"/>
          <w:szCs w:val="24"/>
        </w:rPr>
        <w:t>田湾核电厂VVER</w:t>
      </w:r>
    </w:p>
    <w:p w:rsidR="00F325CC" w:rsidRPr="00F325CC" w:rsidRDefault="00F325CC" w:rsidP="00F325CC">
      <w:pPr>
        <w:widowControl/>
        <w:shd w:val="clear" w:color="auto" w:fill="FFFFFF"/>
        <w:spacing w:line="360" w:lineRule="auto"/>
        <w:ind w:left="1276"/>
        <w:jc w:val="left"/>
        <w:rPr>
          <w:rFonts w:ascii="宋体" w:eastAsia="宋体" w:hAnsi="宋体" w:cs="宋体"/>
          <w:color w:val="000000"/>
          <w:kern w:val="0"/>
          <w:sz w:val="24"/>
          <w:szCs w:val="24"/>
        </w:rPr>
      </w:pPr>
      <w:proofErr w:type="spellStart"/>
      <w:r w:rsidRPr="00F325CC">
        <w:rPr>
          <w:rFonts w:ascii="宋体" w:eastAsia="宋体" w:hAnsi="宋体" w:cs="宋体" w:hint="eastAsia"/>
          <w:b/>
          <w:color w:val="000000"/>
          <w:kern w:val="0"/>
          <w:sz w:val="24"/>
          <w:szCs w:val="24"/>
        </w:rPr>
        <w:t>i</w:t>
      </w:r>
      <w:proofErr w:type="spellEnd"/>
      <w:r w:rsidRPr="00F325CC">
        <w:rPr>
          <w:rFonts w:ascii="宋体" w:eastAsia="宋体" w:hAnsi="宋体" w:cs="宋体" w:hint="eastAsia"/>
          <w:b/>
          <w:color w:val="000000"/>
          <w:kern w:val="0"/>
          <w:sz w:val="24"/>
          <w:szCs w:val="24"/>
        </w:rPr>
        <w:t>.</w:t>
      </w:r>
      <w:r w:rsidRPr="00F325CC">
        <w:rPr>
          <w:rFonts w:ascii="宋体" w:eastAsia="宋体" w:hAnsi="宋体" w:cs="宋体" w:hint="eastAsia"/>
          <w:color w:val="000000"/>
          <w:kern w:val="0"/>
          <w:sz w:val="24"/>
          <w:szCs w:val="24"/>
        </w:rPr>
        <w:t>如同上文</w:t>
      </w:r>
      <w:proofErr w:type="spellStart"/>
      <w:r w:rsidRPr="00F325CC">
        <w:rPr>
          <w:rFonts w:ascii="宋体" w:eastAsia="宋体" w:hAnsi="宋体" w:cs="宋体" w:hint="eastAsia"/>
          <w:color w:val="000000"/>
          <w:kern w:val="0"/>
          <w:sz w:val="24"/>
          <w:szCs w:val="24"/>
        </w:rPr>
        <w:t>c.i</w:t>
      </w:r>
      <w:proofErr w:type="spellEnd"/>
      <w:r w:rsidRPr="00F325CC">
        <w:rPr>
          <w:rFonts w:ascii="宋体" w:eastAsia="宋体" w:hAnsi="宋体" w:cs="宋体" w:hint="eastAsia"/>
          <w:color w:val="000000"/>
          <w:kern w:val="0"/>
          <w:sz w:val="24"/>
          <w:szCs w:val="24"/>
        </w:rPr>
        <w:t>，术语不统一。</w:t>
      </w:r>
    </w:p>
    <w:p w:rsidR="00F325CC" w:rsidRPr="00F325CC" w:rsidRDefault="00F325CC" w:rsidP="00F325CC">
      <w:pPr>
        <w:widowControl/>
        <w:shd w:val="clear" w:color="auto" w:fill="FFFFFF"/>
        <w:spacing w:line="360" w:lineRule="auto"/>
        <w:ind w:left="1276"/>
        <w:jc w:val="left"/>
        <w:rPr>
          <w:rFonts w:ascii="宋体" w:eastAsia="宋体" w:hAnsi="宋体" w:cs="宋体"/>
          <w:color w:val="000000"/>
          <w:kern w:val="0"/>
          <w:sz w:val="24"/>
          <w:szCs w:val="24"/>
        </w:rPr>
      </w:pPr>
      <w:r w:rsidRPr="00F325CC">
        <w:rPr>
          <w:rFonts w:ascii="宋体" w:eastAsia="宋体" w:hAnsi="宋体" w:cs="宋体" w:hint="eastAsia"/>
          <w:b/>
          <w:color w:val="000000"/>
          <w:kern w:val="0"/>
          <w:sz w:val="24"/>
          <w:szCs w:val="24"/>
        </w:rPr>
        <w:t>ii.</w:t>
      </w:r>
      <w:r w:rsidRPr="00F325CC">
        <w:rPr>
          <w:rFonts w:ascii="宋体" w:eastAsia="宋体" w:hAnsi="宋体" w:cs="宋体" w:hint="eastAsia"/>
          <w:color w:val="000000"/>
          <w:kern w:val="0"/>
          <w:sz w:val="24"/>
          <w:szCs w:val="24"/>
        </w:rPr>
        <w:t>每台机组有４台应急柴油发电机组（EDG, 5500kW），应该是N+2布置。</w:t>
      </w:r>
    </w:p>
    <w:p w:rsidR="00F325CC" w:rsidRPr="00F325CC" w:rsidRDefault="00F325CC" w:rsidP="00F325CC">
      <w:pPr>
        <w:widowControl/>
        <w:shd w:val="clear" w:color="auto" w:fill="FFFFFF"/>
        <w:spacing w:line="360" w:lineRule="auto"/>
        <w:ind w:left="1276"/>
        <w:jc w:val="left"/>
        <w:rPr>
          <w:rFonts w:ascii="宋体" w:eastAsia="宋体" w:hAnsi="宋体" w:cs="宋体"/>
          <w:color w:val="000000"/>
          <w:kern w:val="0"/>
          <w:sz w:val="24"/>
          <w:szCs w:val="24"/>
        </w:rPr>
      </w:pPr>
      <w:r w:rsidRPr="00F325CC">
        <w:rPr>
          <w:rFonts w:ascii="宋体" w:eastAsia="宋体" w:hAnsi="宋体" w:cs="宋体" w:hint="eastAsia"/>
          <w:b/>
          <w:color w:val="000000"/>
          <w:kern w:val="0"/>
          <w:sz w:val="24"/>
          <w:szCs w:val="24"/>
        </w:rPr>
        <w:t>iii.</w:t>
      </w:r>
      <w:r w:rsidRPr="00F325CC">
        <w:rPr>
          <w:rFonts w:ascii="宋体" w:eastAsia="宋体" w:hAnsi="宋体" w:cs="宋体" w:hint="eastAsia"/>
          <w:color w:val="000000"/>
          <w:kern w:val="0"/>
          <w:sz w:val="24"/>
          <w:szCs w:val="24"/>
        </w:rPr>
        <w:t>每机组两台5000kW柴油发电机组是AAC DG, N+1布置。</w:t>
      </w:r>
    </w:p>
    <w:p w:rsidR="00F325CC" w:rsidRPr="00F325CC" w:rsidRDefault="00F325CC" w:rsidP="00780DFA">
      <w:pPr>
        <w:widowControl/>
        <w:shd w:val="clear" w:color="auto" w:fill="FFFFFF"/>
        <w:spacing w:line="360" w:lineRule="auto"/>
        <w:ind w:left="1276" w:firstLineChars="200" w:firstLine="480"/>
        <w:jc w:val="left"/>
        <w:rPr>
          <w:rFonts w:ascii="宋体" w:eastAsia="宋体" w:hAnsi="宋体" w:cs="宋体"/>
          <w:color w:val="000000"/>
          <w:kern w:val="0"/>
          <w:sz w:val="24"/>
          <w:szCs w:val="24"/>
        </w:rPr>
      </w:pPr>
      <w:r w:rsidRPr="00F325CC">
        <w:rPr>
          <w:rFonts w:ascii="宋体" w:eastAsia="宋体" w:hAnsi="宋体" w:cs="宋体" w:hint="eastAsia"/>
          <w:color w:val="000000"/>
          <w:kern w:val="0"/>
          <w:sz w:val="24"/>
          <w:szCs w:val="24"/>
        </w:rPr>
        <w:t>田湾的紧急电源系统(Emergency Power System, EPS)是本报告中</w:t>
      </w:r>
      <w:proofErr w:type="gramStart"/>
      <w:r w:rsidRPr="00F325CC">
        <w:rPr>
          <w:rFonts w:ascii="宋体" w:eastAsia="宋体" w:hAnsi="宋体" w:cs="宋体" w:hint="eastAsia"/>
          <w:color w:val="000000"/>
          <w:kern w:val="0"/>
          <w:sz w:val="24"/>
          <w:szCs w:val="24"/>
        </w:rPr>
        <w:t>中</w:t>
      </w:r>
      <w:proofErr w:type="gramEnd"/>
      <w:r w:rsidRPr="00F325CC">
        <w:rPr>
          <w:rFonts w:ascii="宋体" w:eastAsia="宋体" w:hAnsi="宋体" w:cs="宋体" w:hint="eastAsia"/>
          <w:color w:val="000000"/>
          <w:kern w:val="0"/>
          <w:sz w:val="24"/>
          <w:szCs w:val="24"/>
        </w:rPr>
        <w:t>最佳的，满足IAEA等机构的要求。也与西方核电站的EPS一致。</w:t>
      </w:r>
    </w:p>
    <w:p w:rsidR="00F325CC" w:rsidRPr="00F325CC" w:rsidRDefault="00F325CC" w:rsidP="00F325CC">
      <w:pPr>
        <w:widowControl/>
        <w:shd w:val="clear" w:color="auto" w:fill="FFFFFF"/>
        <w:spacing w:line="360" w:lineRule="auto"/>
        <w:ind w:left="709"/>
        <w:jc w:val="left"/>
        <w:rPr>
          <w:rFonts w:ascii="宋体" w:eastAsia="宋体" w:hAnsi="宋体" w:cs="宋体"/>
          <w:color w:val="000000"/>
          <w:kern w:val="0"/>
          <w:sz w:val="24"/>
          <w:szCs w:val="24"/>
        </w:rPr>
      </w:pPr>
      <w:r w:rsidRPr="00F325CC">
        <w:rPr>
          <w:rFonts w:ascii="宋体" w:eastAsia="宋体" w:hAnsi="宋体" w:cs="宋体" w:hint="eastAsia"/>
          <w:b/>
          <w:color w:val="000000"/>
          <w:kern w:val="0"/>
          <w:sz w:val="24"/>
          <w:szCs w:val="24"/>
        </w:rPr>
        <w:t>e.</w:t>
      </w:r>
      <w:r w:rsidRPr="00F325CC">
        <w:rPr>
          <w:rFonts w:ascii="宋体" w:eastAsia="宋体" w:hAnsi="宋体" w:cs="宋体" w:hint="eastAsia"/>
          <w:color w:val="000000"/>
          <w:kern w:val="0"/>
          <w:sz w:val="24"/>
          <w:szCs w:val="24"/>
        </w:rPr>
        <w:t>燃料储存</w:t>
      </w:r>
    </w:p>
    <w:p w:rsidR="00F325CC" w:rsidRPr="00F325CC" w:rsidRDefault="00F325CC" w:rsidP="00F325CC">
      <w:pPr>
        <w:widowControl/>
        <w:shd w:val="clear" w:color="auto" w:fill="FFFFFF"/>
        <w:spacing w:line="360" w:lineRule="auto"/>
        <w:ind w:left="709" w:firstLineChars="200" w:firstLine="480"/>
        <w:jc w:val="left"/>
        <w:rPr>
          <w:rFonts w:ascii="宋体" w:eastAsia="宋体" w:hAnsi="宋体" w:cs="宋体"/>
          <w:color w:val="000000"/>
          <w:kern w:val="0"/>
          <w:sz w:val="24"/>
          <w:szCs w:val="24"/>
        </w:rPr>
      </w:pPr>
      <w:r w:rsidRPr="00F325CC">
        <w:rPr>
          <w:rFonts w:ascii="宋体" w:eastAsia="宋体" w:hAnsi="宋体" w:cs="宋体" w:hint="eastAsia"/>
          <w:color w:val="000000"/>
          <w:kern w:val="0"/>
          <w:sz w:val="24"/>
          <w:szCs w:val="24"/>
        </w:rPr>
        <w:t>报告中未提及燃料储存量。燃料储存量是应急电源系统的一个主要指标。要求EDG：7天；AAC DG：8小时。</w:t>
      </w:r>
    </w:p>
    <w:p w:rsidR="00F325CC" w:rsidRPr="00F325CC" w:rsidRDefault="00F325CC" w:rsidP="00F325CC">
      <w:pPr>
        <w:widowControl/>
        <w:shd w:val="clear" w:color="auto" w:fill="FFFFFF"/>
        <w:spacing w:line="360" w:lineRule="auto"/>
        <w:ind w:left="709"/>
        <w:jc w:val="left"/>
        <w:rPr>
          <w:rFonts w:ascii="宋体" w:eastAsia="宋体" w:hAnsi="宋体" w:cs="宋体"/>
          <w:color w:val="000000"/>
          <w:kern w:val="0"/>
          <w:sz w:val="24"/>
          <w:szCs w:val="24"/>
        </w:rPr>
      </w:pPr>
      <w:r w:rsidRPr="00F325CC">
        <w:rPr>
          <w:rFonts w:ascii="宋体" w:eastAsia="宋体" w:hAnsi="宋体" w:cs="宋体" w:hint="eastAsia"/>
          <w:b/>
          <w:color w:val="000000"/>
          <w:kern w:val="0"/>
          <w:sz w:val="24"/>
          <w:szCs w:val="24"/>
        </w:rPr>
        <w:t>f.</w:t>
      </w:r>
      <w:r w:rsidRPr="00F325CC">
        <w:rPr>
          <w:rFonts w:ascii="宋体" w:eastAsia="宋体" w:hAnsi="宋体" w:cs="宋体" w:hint="eastAsia"/>
          <w:color w:val="000000"/>
          <w:kern w:val="0"/>
          <w:sz w:val="24"/>
          <w:szCs w:val="24"/>
        </w:rPr>
        <w:t>报告中提及</w:t>
      </w:r>
      <w:proofErr w:type="gramStart"/>
      <w:r w:rsidRPr="00F325CC">
        <w:rPr>
          <w:rFonts w:ascii="宋体" w:eastAsia="宋体" w:hAnsi="宋体" w:cs="宋体" w:hint="eastAsia"/>
          <w:color w:val="000000"/>
          <w:kern w:val="0"/>
          <w:sz w:val="24"/>
          <w:szCs w:val="24"/>
        </w:rPr>
        <w:t>福岛核事故</w:t>
      </w:r>
      <w:proofErr w:type="gramEnd"/>
      <w:r w:rsidRPr="00F325CC">
        <w:rPr>
          <w:rFonts w:ascii="宋体" w:eastAsia="宋体" w:hAnsi="宋体" w:cs="宋体" w:hint="eastAsia"/>
          <w:color w:val="000000"/>
          <w:kern w:val="0"/>
          <w:sz w:val="24"/>
          <w:szCs w:val="24"/>
        </w:rPr>
        <w:t>后增设的移动发电设备，应给出具体信息，否则无法做出判断。</w:t>
      </w:r>
    </w:p>
    <w:p w:rsidR="00F325CC" w:rsidRPr="00F325CC" w:rsidRDefault="00F325CC" w:rsidP="00F325CC">
      <w:pPr>
        <w:widowControl/>
        <w:shd w:val="clear" w:color="auto" w:fill="FFFFFF"/>
        <w:spacing w:line="360" w:lineRule="auto"/>
        <w:ind w:left="709"/>
        <w:jc w:val="left"/>
        <w:rPr>
          <w:rFonts w:ascii="宋体" w:eastAsia="宋体" w:hAnsi="宋体" w:cs="宋体"/>
          <w:color w:val="000000"/>
          <w:kern w:val="0"/>
          <w:sz w:val="24"/>
          <w:szCs w:val="24"/>
        </w:rPr>
      </w:pPr>
    </w:p>
    <w:p w:rsidR="009F3A37" w:rsidRPr="00F325CC" w:rsidRDefault="009F3A37" w:rsidP="00F325CC">
      <w:pPr>
        <w:widowControl/>
        <w:shd w:val="clear" w:color="auto" w:fill="FFFFFF"/>
        <w:spacing w:line="360" w:lineRule="auto"/>
        <w:jc w:val="left"/>
        <w:rPr>
          <w:rFonts w:ascii="Calibri" w:eastAsia="宋体" w:hAnsi="Calibri" w:cs="宋体"/>
          <w:color w:val="000000"/>
          <w:kern w:val="0"/>
          <w:szCs w:val="21"/>
        </w:rPr>
      </w:pPr>
    </w:p>
    <w:sectPr w:rsidR="009F3A37" w:rsidRPr="00F325C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BFE" w:rsidRDefault="00E32BFE" w:rsidP="00133B76">
      <w:r>
        <w:separator/>
      </w:r>
    </w:p>
  </w:endnote>
  <w:endnote w:type="continuationSeparator" w:id="0">
    <w:p w:rsidR="00E32BFE" w:rsidRDefault="00E32BFE" w:rsidP="0013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B76" w:rsidRDefault="00133B76">
    <w:pPr>
      <w:pStyle w:val="a4"/>
      <w:jc w:val="center"/>
      <w:rPr>
        <w:rFonts w:cs="Times New Roman"/>
        <w:b/>
        <w:bCs/>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-107315</wp:posOffset>
              </wp:positionV>
              <wp:extent cx="5257800" cy="0"/>
              <wp:effectExtent l="9525" t="16510" r="9525"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6CC2B1"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5pt" to="414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yDLw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" strokecolor="white" strokeweight="1.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BFE" w:rsidRDefault="00E32BFE" w:rsidP="00133B76">
      <w:r>
        <w:separator/>
      </w:r>
    </w:p>
  </w:footnote>
  <w:footnote w:type="continuationSeparator" w:id="0">
    <w:p w:rsidR="00E32BFE" w:rsidRDefault="00E32BFE" w:rsidP="00133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F3299"/>
    <w:multiLevelType w:val="hybridMultilevel"/>
    <w:tmpl w:val="57469D7C"/>
    <w:lvl w:ilvl="0" w:tplc="0809000F">
      <w:start w:val="1"/>
      <w:numFmt w:val="decimal"/>
      <w:lvlText w:val="%1."/>
      <w:lvlJc w:val="left"/>
      <w:pPr>
        <w:tabs>
          <w:tab w:val="num" w:pos="786"/>
        </w:tabs>
        <w:ind w:left="786"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828"/>
    <w:rsid w:val="000A5392"/>
    <w:rsid w:val="000D3110"/>
    <w:rsid w:val="00132D04"/>
    <w:rsid w:val="00133B76"/>
    <w:rsid w:val="001A10C7"/>
    <w:rsid w:val="001C0562"/>
    <w:rsid w:val="002B500C"/>
    <w:rsid w:val="00345C29"/>
    <w:rsid w:val="003D7EB6"/>
    <w:rsid w:val="00465078"/>
    <w:rsid w:val="006E124D"/>
    <w:rsid w:val="00780DFA"/>
    <w:rsid w:val="00872DA8"/>
    <w:rsid w:val="008D1868"/>
    <w:rsid w:val="00946F9B"/>
    <w:rsid w:val="00971828"/>
    <w:rsid w:val="009D7D00"/>
    <w:rsid w:val="009F3A37"/>
    <w:rsid w:val="009F4FF4"/>
    <w:rsid w:val="00A800EB"/>
    <w:rsid w:val="00A84333"/>
    <w:rsid w:val="00BA2282"/>
    <w:rsid w:val="00C5207D"/>
    <w:rsid w:val="00C640CA"/>
    <w:rsid w:val="00D63637"/>
    <w:rsid w:val="00E32BFE"/>
    <w:rsid w:val="00EA379F"/>
    <w:rsid w:val="00EB3EAC"/>
    <w:rsid w:val="00EE6FF1"/>
    <w:rsid w:val="00F325CC"/>
    <w:rsid w:val="00F44A90"/>
    <w:rsid w:val="00F75F4F"/>
    <w:rsid w:val="00FE6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3B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3B76"/>
    <w:rPr>
      <w:sz w:val="18"/>
      <w:szCs w:val="18"/>
    </w:rPr>
  </w:style>
  <w:style w:type="paragraph" w:styleId="a4">
    <w:name w:val="footer"/>
    <w:basedOn w:val="a"/>
    <w:link w:val="Char0"/>
    <w:uiPriority w:val="99"/>
    <w:unhideWhenUsed/>
    <w:rsid w:val="00133B76"/>
    <w:pPr>
      <w:tabs>
        <w:tab w:val="center" w:pos="4153"/>
        <w:tab w:val="right" w:pos="8306"/>
      </w:tabs>
      <w:snapToGrid w:val="0"/>
      <w:jc w:val="left"/>
    </w:pPr>
    <w:rPr>
      <w:sz w:val="18"/>
      <w:szCs w:val="18"/>
    </w:rPr>
  </w:style>
  <w:style w:type="character" w:customStyle="1" w:styleId="Char0">
    <w:name w:val="页脚 Char"/>
    <w:basedOn w:val="a0"/>
    <w:link w:val="a4"/>
    <w:uiPriority w:val="99"/>
    <w:rsid w:val="00133B76"/>
    <w:rPr>
      <w:sz w:val="18"/>
      <w:szCs w:val="18"/>
    </w:rPr>
  </w:style>
  <w:style w:type="paragraph" w:styleId="a5">
    <w:name w:val="Balloon Text"/>
    <w:basedOn w:val="a"/>
    <w:link w:val="Char1"/>
    <w:uiPriority w:val="99"/>
    <w:semiHidden/>
    <w:unhideWhenUsed/>
    <w:rsid w:val="00A84333"/>
    <w:rPr>
      <w:sz w:val="18"/>
      <w:szCs w:val="18"/>
    </w:rPr>
  </w:style>
  <w:style w:type="character" w:customStyle="1" w:styleId="Char1">
    <w:name w:val="批注框文本 Char"/>
    <w:basedOn w:val="a0"/>
    <w:link w:val="a5"/>
    <w:uiPriority w:val="99"/>
    <w:semiHidden/>
    <w:rsid w:val="00A84333"/>
    <w:rPr>
      <w:sz w:val="18"/>
      <w:szCs w:val="18"/>
    </w:rPr>
  </w:style>
  <w:style w:type="paragraph" w:styleId="a6">
    <w:name w:val="List Paragraph"/>
    <w:basedOn w:val="a"/>
    <w:uiPriority w:val="34"/>
    <w:qFormat/>
    <w:rsid w:val="002B500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B50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3B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3B76"/>
    <w:rPr>
      <w:sz w:val="18"/>
      <w:szCs w:val="18"/>
    </w:rPr>
  </w:style>
  <w:style w:type="paragraph" w:styleId="a4">
    <w:name w:val="footer"/>
    <w:basedOn w:val="a"/>
    <w:link w:val="Char0"/>
    <w:uiPriority w:val="99"/>
    <w:unhideWhenUsed/>
    <w:rsid w:val="00133B76"/>
    <w:pPr>
      <w:tabs>
        <w:tab w:val="center" w:pos="4153"/>
        <w:tab w:val="right" w:pos="8306"/>
      </w:tabs>
      <w:snapToGrid w:val="0"/>
      <w:jc w:val="left"/>
    </w:pPr>
    <w:rPr>
      <w:sz w:val="18"/>
      <w:szCs w:val="18"/>
    </w:rPr>
  </w:style>
  <w:style w:type="character" w:customStyle="1" w:styleId="Char0">
    <w:name w:val="页脚 Char"/>
    <w:basedOn w:val="a0"/>
    <w:link w:val="a4"/>
    <w:uiPriority w:val="99"/>
    <w:rsid w:val="00133B76"/>
    <w:rPr>
      <w:sz w:val="18"/>
      <w:szCs w:val="18"/>
    </w:rPr>
  </w:style>
  <w:style w:type="paragraph" w:styleId="a5">
    <w:name w:val="Balloon Text"/>
    <w:basedOn w:val="a"/>
    <w:link w:val="Char1"/>
    <w:uiPriority w:val="99"/>
    <w:semiHidden/>
    <w:unhideWhenUsed/>
    <w:rsid w:val="00A84333"/>
    <w:rPr>
      <w:sz w:val="18"/>
      <w:szCs w:val="18"/>
    </w:rPr>
  </w:style>
  <w:style w:type="character" w:customStyle="1" w:styleId="Char1">
    <w:name w:val="批注框文本 Char"/>
    <w:basedOn w:val="a0"/>
    <w:link w:val="a5"/>
    <w:uiPriority w:val="99"/>
    <w:semiHidden/>
    <w:rsid w:val="00A84333"/>
    <w:rPr>
      <w:sz w:val="18"/>
      <w:szCs w:val="18"/>
    </w:rPr>
  </w:style>
  <w:style w:type="paragraph" w:styleId="a6">
    <w:name w:val="List Paragraph"/>
    <w:basedOn w:val="a"/>
    <w:uiPriority w:val="34"/>
    <w:qFormat/>
    <w:rsid w:val="002B500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B5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57284">
      <w:bodyDiv w:val="1"/>
      <w:marLeft w:val="0"/>
      <w:marRight w:val="0"/>
      <w:marTop w:val="0"/>
      <w:marBottom w:val="0"/>
      <w:divBdr>
        <w:top w:val="none" w:sz="0" w:space="0" w:color="auto"/>
        <w:left w:val="none" w:sz="0" w:space="0" w:color="auto"/>
        <w:bottom w:val="none" w:sz="0" w:space="0" w:color="auto"/>
        <w:right w:val="none" w:sz="0" w:space="0" w:color="auto"/>
      </w:divBdr>
      <w:divsChild>
        <w:div w:id="1012224169">
          <w:marLeft w:val="0"/>
          <w:marRight w:val="0"/>
          <w:marTop w:val="0"/>
          <w:marBottom w:val="0"/>
          <w:divBdr>
            <w:top w:val="none" w:sz="0" w:space="0" w:color="auto"/>
            <w:left w:val="none" w:sz="0" w:space="0" w:color="auto"/>
            <w:bottom w:val="single" w:sz="8" w:space="1" w:color="auto"/>
            <w:right w:val="none" w:sz="0" w:space="0" w:color="auto"/>
          </w:divBdr>
        </w:div>
      </w:divsChild>
    </w:div>
    <w:div w:id="1297446215">
      <w:bodyDiv w:val="1"/>
      <w:marLeft w:val="0"/>
      <w:marRight w:val="0"/>
      <w:marTop w:val="0"/>
      <w:marBottom w:val="0"/>
      <w:divBdr>
        <w:top w:val="none" w:sz="0" w:space="0" w:color="auto"/>
        <w:left w:val="none" w:sz="0" w:space="0" w:color="auto"/>
        <w:bottom w:val="none" w:sz="0" w:space="0" w:color="auto"/>
        <w:right w:val="none" w:sz="0" w:space="0" w:color="auto"/>
      </w:divBdr>
    </w:div>
    <w:div w:id="147470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297</Words>
  <Characters>1697</Characters>
  <Application>Microsoft Office Word</Application>
  <DocSecurity>0</DocSecurity>
  <Lines>14</Lines>
  <Paragraphs>3</Paragraphs>
  <ScaleCrop>false</ScaleCrop>
  <Company>核与辐射安全中心</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dc:creator>
  <cp:keywords/>
  <dc:description/>
  <cp:lastModifiedBy>xt</cp:lastModifiedBy>
  <cp:revision>7</cp:revision>
  <cp:lastPrinted>2015-10-12T02:18:00Z</cp:lastPrinted>
  <dcterms:created xsi:type="dcterms:W3CDTF">2015-11-03T05:38:00Z</dcterms:created>
  <dcterms:modified xsi:type="dcterms:W3CDTF">2015-11-16T07:55:00Z</dcterms:modified>
</cp:coreProperties>
</file>